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D51F88" w:rsidRPr="00CE260C" w:rsidTr="00017548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0F4D09" w:rsidRDefault="000F4D09" w:rsidP="00017548">
            <w:pPr>
              <w:ind w:left="142" w:right="258"/>
              <w:jc w:val="center"/>
              <w:rPr>
                <w:rFonts w:hint="cs"/>
                <w:b/>
                <w:bCs/>
                <w:sz w:val="46"/>
                <w:szCs w:val="46"/>
                <w:rtl/>
              </w:rPr>
            </w:pPr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 xml:space="preserve">مؤسسة </w:t>
            </w:r>
            <w:proofErr w:type="spellStart"/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>بايوني</w:t>
            </w:r>
            <w:proofErr w:type="spellEnd"/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 xml:space="preserve"> للمواد الصحية</w:t>
            </w:r>
          </w:p>
          <w:p w:rsidR="000F4D09" w:rsidRPr="00017548" w:rsidRDefault="000F4D09" w:rsidP="00017548">
            <w:pPr>
              <w:ind w:left="142" w:right="258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017548">
              <w:rPr>
                <w:rFonts w:hint="cs"/>
                <w:b/>
                <w:bCs/>
                <w:sz w:val="36"/>
                <w:szCs w:val="36"/>
                <w:rtl/>
              </w:rPr>
              <w:t>البنك الفرنسي</w:t>
            </w:r>
          </w:p>
          <w:p w:rsidR="000F4D09" w:rsidRPr="000F4D09" w:rsidRDefault="000F4D09" w:rsidP="00017548">
            <w:pPr>
              <w:ind w:left="142" w:right="258"/>
              <w:jc w:val="center"/>
              <w:rPr>
                <w:b/>
                <w:bCs/>
                <w:sz w:val="46"/>
                <w:szCs w:val="46"/>
                <w:rtl/>
              </w:rPr>
            </w:pPr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>98298900131</w:t>
            </w:r>
          </w:p>
        </w:tc>
        <w:tc>
          <w:tcPr>
            <w:tcW w:w="5952" w:type="dxa"/>
            <w:vAlign w:val="center"/>
          </w:tcPr>
          <w:p w:rsidR="00D51F88" w:rsidRPr="00485681" w:rsidRDefault="000F4D09" w:rsidP="00017548">
            <w:pPr>
              <w:ind w:left="258" w:right="108"/>
              <w:jc w:val="center"/>
              <w:rPr>
                <w:rFonts w:hint="cs"/>
                <w:b/>
                <w:bCs/>
                <w:sz w:val="46"/>
                <w:szCs w:val="46"/>
                <w:rtl/>
              </w:rPr>
            </w:pPr>
            <w:r w:rsidRPr="00485681">
              <w:rPr>
                <w:rFonts w:hint="cs"/>
                <w:b/>
                <w:bCs/>
                <w:sz w:val="46"/>
                <w:szCs w:val="46"/>
                <w:rtl/>
              </w:rPr>
              <w:t xml:space="preserve">مؤسسة </w:t>
            </w:r>
            <w:proofErr w:type="spellStart"/>
            <w:r w:rsidRPr="00485681">
              <w:rPr>
                <w:rFonts w:hint="cs"/>
                <w:b/>
                <w:bCs/>
                <w:sz w:val="46"/>
                <w:szCs w:val="46"/>
                <w:rtl/>
              </w:rPr>
              <w:t>بايوني</w:t>
            </w:r>
            <w:proofErr w:type="spellEnd"/>
            <w:r w:rsidRPr="00485681">
              <w:rPr>
                <w:rFonts w:hint="cs"/>
                <w:b/>
                <w:bCs/>
                <w:sz w:val="46"/>
                <w:szCs w:val="46"/>
                <w:rtl/>
              </w:rPr>
              <w:t xml:space="preserve"> للتجارة والتعهدات</w:t>
            </w:r>
          </w:p>
          <w:p w:rsidR="000F4D09" w:rsidRPr="00017548" w:rsidRDefault="000F4D09" w:rsidP="00017548">
            <w:pPr>
              <w:ind w:left="258" w:right="108"/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017548">
              <w:rPr>
                <w:rFonts w:hint="cs"/>
                <w:b/>
                <w:bCs/>
                <w:sz w:val="36"/>
                <w:szCs w:val="36"/>
                <w:rtl/>
              </w:rPr>
              <w:t>البنك الفرنسي</w:t>
            </w:r>
          </w:p>
          <w:p w:rsidR="000F4D09" w:rsidRPr="00017548" w:rsidRDefault="000F4D09" w:rsidP="00017548">
            <w:pPr>
              <w:ind w:left="258" w:right="108"/>
              <w:jc w:val="center"/>
              <w:rPr>
                <w:b/>
                <w:bCs/>
                <w:sz w:val="46"/>
                <w:szCs w:val="46"/>
                <w:rtl/>
              </w:rPr>
            </w:pPr>
            <w:r w:rsidRPr="00017548">
              <w:rPr>
                <w:rFonts w:hint="cs"/>
                <w:b/>
                <w:bCs/>
                <w:sz w:val="46"/>
                <w:szCs w:val="46"/>
                <w:rtl/>
              </w:rPr>
              <w:t>10869300274</w:t>
            </w:r>
          </w:p>
        </w:tc>
      </w:tr>
      <w:tr w:rsidR="00D51F88" w:rsidRPr="00CE260C" w:rsidTr="00017548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0F4D09" w:rsidRDefault="000F4D09" w:rsidP="00017548">
            <w:pPr>
              <w:ind w:left="142" w:right="258"/>
              <w:jc w:val="center"/>
              <w:rPr>
                <w:b/>
                <w:bCs/>
                <w:sz w:val="60"/>
                <w:szCs w:val="60"/>
                <w:rtl/>
              </w:rPr>
            </w:pPr>
            <w:r w:rsidRPr="000F4D09">
              <w:rPr>
                <w:rFonts w:hint="cs"/>
                <w:b/>
                <w:bCs/>
                <w:sz w:val="60"/>
                <w:szCs w:val="60"/>
                <w:rtl/>
              </w:rPr>
              <w:t>مكائن السحب</w:t>
            </w:r>
          </w:p>
        </w:tc>
        <w:tc>
          <w:tcPr>
            <w:tcW w:w="5952" w:type="dxa"/>
            <w:vAlign w:val="center"/>
          </w:tcPr>
          <w:p w:rsidR="00D51F88" w:rsidRPr="000F4D09" w:rsidRDefault="000F4D09" w:rsidP="00017548">
            <w:pPr>
              <w:ind w:left="258" w:right="108"/>
              <w:jc w:val="center"/>
              <w:rPr>
                <w:rFonts w:hint="cs"/>
                <w:b/>
                <w:bCs/>
                <w:sz w:val="46"/>
                <w:szCs w:val="46"/>
                <w:rtl/>
              </w:rPr>
            </w:pPr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 xml:space="preserve">مؤسسة </w:t>
            </w:r>
            <w:proofErr w:type="spellStart"/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>بايوني</w:t>
            </w:r>
            <w:proofErr w:type="spellEnd"/>
            <w:r w:rsidRPr="000F4D09">
              <w:rPr>
                <w:rFonts w:hint="cs"/>
                <w:b/>
                <w:bCs/>
                <w:sz w:val="46"/>
                <w:szCs w:val="46"/>
                <w:rtl/>
              </w:rPr>
              <w:t xml:space="preserve"> للتجارة والتعهدات</w:t>
            </w:r>
          </w:p>
          <w:p w:rsidR="000F4D09" w:rsidRPr="00017548" w:rsidRDefault="000F4D09" w:rsidP="00017548">
            <w:pPr>
              <w:ind w:left="258" w:right="108"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017548">
              <w:rPr>
                <w:rFonts w:hint="cs"/>
                <w:b/>
                <w:bCs/>
                <w:sz w:val="36"/>
                <w:szCs w:val="36"/>
                <w:rtl/>
              </w:rPr>
              <w:t>بنك الرياض</w:t>
            </w:r>
          </w:p>
          <w:p w:rsidR="000F4D09" w:rsidRPr="00017548" w:rsidRDefault="003915C7" w:rsidP="00017548">
            <w:pPr>
              <w:ind w:left="258" w:right="108"/>
              <w:jc w:val="center"/>
              <w:rPr>
                <w:b/>
                <w:bCs/>
                <w:sz w:val="46"/>
                <w:szCs w:val="46"/>
                <w:rtl/>
              </w:rPr>
            </w:pPr>
            <w:r w:rsidRPr="00017548">
              <w:rPr>
                <w:b/>
                <w:bCs/>
                <w:sz w:val="46"/>
                <w:szCs w:val="46"/>
                <w:rtl/>
              </w:rPr>
              <w:t>3011701629950</w:t>
            </w:r>
          </w:p>
        </w:tc>
      </w:tr>
      <w:tr w:rsidR="00D51F88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0F4D09" w:rsidRDefault="000F4D09" w:rsidP="00017548">
            <w:pPr>
              <w:ind w:left="142" w:right="258"/>
              <w:jc w:val="center"/>
              <w:rPr>
                <w:b/>
                <w:bCs/>
                <w:sz w:val="60"/>
                <w:szCs w:val="60"/>
                <w:rtl/>
              </w:rPr>
            </w:pPr>
            <w:r w:rsidRPr="000F4D09">
              <w:rPr>
                <w:rFonts w:hint="cs"/>
                <w:b/>
                <w:bCs/>
                <w:sz w:val="60"/>
                <w:szCs w:val="60"/>
                <w:rtl/>
              </w:rPr>
              <w:t>الضمانات البنكية</w:t>
            </w:r>
          </w:p>
        </w:tc>
        <w:tc>
          <w:tcPr>
            <w:tcW w:w="5952" w:type="dxa"/>
            <w:vAlign w:val="center"/>
          </w:tcPr>
          <w:p w:rsidR="00D51F88" w:rsidRPr="000F4D09" w:rsidRDefault="000F4D09" w:rsidP="00017548">
            <w:pPr>
              <w:ind w:left="258" w:right="108"/>
              <w:jc w:val="center"/>
              <w:rPr>
                <w:b/>
                <w:bCs/>
                <w:sz w:val="60"/>
                <w:szCs w:val="60"/>
                <w:rtl/>
              </w:rPr>
            </w:pPr>
            <w:r w:rsidRPr="000F4D09">
              <w:rPr>
                <w:rFonts w:hint="cs"/>
                <w:b/>
                <w:bCs/>
                <w:sz w:val="60"/>
                <w:szCs w:val="60"/>
                <w:rtl/>
              </w:rPr>
              <w:t xml:space="preserve">العقود </w:t>
            </w:r>
            <w:proofErr w:type="spellStart"/>
            <w:r w:rsidRPr="000F4D09">
              <w:rPr>
                <w:rFonts w:hint="cs"/>
                <w:b/>
                <w:bCs/>
                <w:sz w:val="60"/>
                <w:szCs w:val="60"/>
                <w:rtl/>
              </w:rPr>
              <w:t>والإتفاقيات</w:t>
            </w:r>
            <w:proofErr w:type="spellEnd"/>
          </w:p>
        </w:tc>
      </w:tr>
      <w:tr w:rsidR="00D51F88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56062E" w:rsidRDefault="0056062E" w:rsidP="00017548">
            <w:pPr>
              <w:ind w:left="142" w:right="258"/>
              <w:jc w:val="center"/>
              <w:rPr>
                <w:b/>
                <w:bCs/>
                <w:sz w:val="60"/>
                <w:szCs w:val="60"/>
                <w:rtl/>
              </w:rPr>
            </w:pPr>
            <w:r w:rsidRPr="0056062E">
              <w:rPr>
                <w:rFonts w:hint="cs"/>
                <w:b/>
                <w:bCs/>
                <w:sz w:val="60"/>
                <w:szCs w:val="60"/>
                <w:rtl/>
              </w:rPr>
              <w:t>بطاقات السحب والفيزا</w:t>
            </w:r>
          </w:p>
        </w:tc>
        <w:tc>
          <w:tcPr>
            <w:tcW w:w="5952" w:type="dxa"/>
            <w:vAlign w:val="center"/>
          </w:tcPr>
          <w:p w:rsidR="00D51F88" w:rsidRPr="00485681" w:rsidRDefault="000F4D09" w:rsidP="00017548">
            <w:pPr>
              <w:ind w:left="258" w:right="108"/>
              <w:jc w:val="center"/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</w:pPr>
            <w:r w:rsidRPr="00485681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 xml:space="preserve">خدمات أون لاين </w:t>
            </w:r>
            <w:proofErr w:type="spellStart"/>
            <w:r w:rsidRPr="00485681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>والإشتراكات</w:t>
            </w:r>
            <w:proofErr w:type="spellEnd"/>
          </w:p>
          <w:p w:rsidR="00485681" w:rsidRPr="00485681" w:rsidRDefault="003915C7" w:rsidP="00017548">
            <w:pPr>
              <w:ind w:left="258" w:right="108"/>
              <w:jc w:val="center"/>
              <w:rPr>
                <w:b/>
                <w:bCs/>
                <w:sz w:val="44"/>
                <w:szCs w:val="44"/>
              </w:rPr>
            </w:pPr>
            <w:r w:rsidRPr="00485681">
              <w:rPr>
                <w:b/>
                <w:bCs/>
                <w:sz w:val="44"/>
                <w:szCs w:val="44"/>
              </w:rPr>
              <w:t>Internet Ser</w:t>
            </w:r>
            <w:r w:rsidR="00485681" w:rsidRPr="00485681">
              <w:rPr>
                <w:b/>
                <w:bCs/>
                <w:sz w:val="44"/>
                <w:szCs w:val="44"/>
              </w:rPr>
              <w:t>vices &amp; Providers</w:t>
            </w:r>
          </w:p>
        </w:tc>
      </w:tr>
      <w:tr w:rsidR="00D51F88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485681" w:rsidRDefault="003915C7" w:rsidP="00017548">
            <w:pPr>
              <w:ind w:left="142"/>
              <w:jc w:val="center"/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</w:pPr>
            <w:r w:rsidRPr="00485681"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  <w:t xml:space="preserve">الشبكة </w:t>
            </w:r>
            <w:r w:rsidR="002F1F40" w:rsidRPr="00485681"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  <w:t>و</w:t>
            </w:r>
            <w:r w:rsidRPr="00485681"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  <w:t>الرسومات</w:t>
            </w:r>
            <w:r w:rsidR="00037142" w:rsidRPr="00485681"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  <w:t xml:space="preserve"> التوضيحية</w:t>
            </w:r>
            <w:r w:rsidR="002F1F40" w:rsidRPr="00485681">
              <w:rPr>
                <w:rFonts w:ascii="Tahoma" w:hAnsi="Tahoma" w:cs="Tahoma"/>
                <w:b/>
                <w:bCs/>
                <w:sz w:val="45"/>
                <w:szCs w:val="45"/>
                <w:rtl/>
              </w:rPr>
              <w:t xml:space="preserve"> لها</w:t>
            </w:r>
            <w:r w:rsidR="002F1F40" w:rsidRPr="00485681">
              <w:rPr>
                <w:rFonts w:ascii="Tahoma" w:hAnsi="Tahoma" w:cs="Tahoma"/>
                <w:b/>
                <w:bCs/>
                <w:sz w:val="45"/>
                <w:szCs w:val="45"/>
              </w:rPr>
              <w:t xml:space="preserve"> </w:t>
            </w:r>
          </w:p>
          <w:p w:rsidR="002F1F40" w:rsidRPr="003915C7" w:rsidRDefault="002F1F40" w:rsidP="00017548">
            <w:pPr>
              <w:ind w:left="142"/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b/>
                <w:bCs/>
                <w:sz w:val="46"/>
                <w:szCs w:val="46"/>
              </w:rPr>
              <w:t>Networks &amp; Diagrams</w:t>
            </w:r>
          </w:p>
        </w:tc>
        <w:tc>
          <w:tcPr>
            <w:tcW w:w="5952" w:type="dxa"/>
            <w:vAlign w:val="center"/>
          </w:tcPr>
          <w:p w:rsidR="00D51F88" w:rsidRPr="00485681" w:rsidRDefault="0056062E" w:rsidP="0056062E">
            <w:pPr>
              <w:spacing w:line="276" w:lineRule="auto"/>
              <w:ind w:left="258" w:right="108"/>
              <w:jc w:val="center"/>
              <w:rPr>
                <w:rFonts w:ascii="Tahoma" w:hAnsi="Tahoma" w:cs="Tahoma"/>
                <w:b/>
                <w:bCs/>
                <w:sz w:val="46"/>
                <w:szCs w:val="46"/>
              </w:rPr>
            </w:pPr>
            <w:r>
              <w:rPr>
                <w:rFonts w:ascii="Tahoma" w:hAnsi="Tahoma" w:cs="Tahoma" w:hint="cs"/>
                <w:b/>
                <w:bCs/>
                <w:sz w:val="46"/>
                <w:szCs w:val="46"/>
                <w:rtl/>
              </w:rPr>
              <w:t xml:space="preserve">البريد </w:t>
            </w:r>
            <w:proofErr w:type="spellStart"/>
            <w:r>
              <w:rPr>
                <w:rFonts w:ascii="Tahoma" w:hAnsi="Tahoma" w:cs="Tahoma" w:hint="cs"/>
                <w:b/>
                <w:bCs/>
                <w:sz w:val="46"/>
                <w:szCs w:val="46"/>
                <w:rtl/>
              </w:rPr>
              <w:t>الألكتروني</w:t>
            </w:r>
            <w:proofErr w:type="spellEnd"/>
          </w:p>
          <w:p w:rsidR="003915C7" w:rsidRPr="0056062E" w:rsidRDefault="003915C7" w:rsidP="00017548">
            <w:pPr>
              <w:spacing w:line="276" w:lineRule="auto"/>
              <w:ind w:left="2" w:right="108"/>
              <w:jc w:val="center"/>
              <w:rPr>
                <w:b/>
                <w:bCs/>
                <w:sz w:val="50"/>
                <w:szCs w:val="50"/>
              </w:rPr>
            </w:pPr>
            <w:bookmarkStart w:id="0" w:name="_GoBack"/>
            <w:bookmarkEnd w:id="0"/>
            <w:proofErr w:type="spellStart"/>
            <w:r w:rsidRPr="0056062E">
              <w:rPr>
                <w:b/>
                <w:bCs/>
                <w:sz w:val="50"/>
                <w:szCs w:val="50"/>
              </w:rPr>
              <w:t>E.Mails</w:t>
            </w:r>
            <w:proofErr w:type="spellEnd"/>
          </w:p>
        </w:tc>
      </w:tr>
      <w:tr w:rsidR="00D51F88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D51F88" w:rsidRPr="0056062E" w:rsidRDefault="003915C7" w:rsidP="0056062E">
            <w:pPr>
              <w:ind w:left="142"/>
              <w:jc w:val="center"/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</w:pPr>
            <w:r w:rsidRPr="0056062E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ال</w:t>
            </w:r>
            <w:r w:rsidR="0056062E" w:rsidRPr="0056062E">
              <w:rPr>
                <w:rFonts w:ascii="Tahoma" w:hAnsi="Tahoma" w:cs="Tahoma" w:hint="cs"/>
                <w:b/>
                <w:bCs/>
                <w:sz w:val="50"/>
                <w:szCs w:val="50"/>
                <w:rtl/>
              </w:rPr>
              <w:t>ـ</w:t>
            </w:r>
            <w:r w:rsidRPr="0056062E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ح</w:t>
            </w:r>
            <w:r w:rsidR="0056062E" w:rsidRPr="0056062E">
              <w:rPr>
                <w:rFonts w:ascii="Tahoma" w:hAnsi="Tahoma" w:cs="Tahoma" w:hint="cs"/>
                <w:b/>
                <w:bCs/>
                <w:sz w:val="50"/>
                <w:szCs w:val="50"/>
                <w:rtl/>
              </w:rPr>
              <w:t>ـ</w:t>
            </w:r>
            <w:r w:rsidRPr="0056062E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س</w:t>
            </w:r>
            <w:r w:rsidR="0056062E" w:rsidRPr="0056062E">
              <w:rPr>
                <w:rFonts w:ascii="Tahoma" w:hAnsi="Tahoma" w:cs="Tahoma" w:hint="cs"/>
                <w:b/>
                <w:bCs/>
                <w:sz w:val="50"/>
                <w:szCs w:val="50"/>
                <w:rtl/>
              </w:rPr>
              <w:t>ـ</w:t>
            </w:r>
            <w:r w:rsidRPr="0056062E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اب</w:t>
            </w:r>
            <w:r w:rsidR="0056062E" w:rsidRPr="0056062E">
              <w:rPr>
                <w:rFonts w:ascii="Tahoma" w:hAnsi="Tahoma" w:cs="Tahoma" w:hint="cs"/>
                <w:b/>
                <w:bCs/>
                <w:sz w:val="50"/>
                <w:szCs w:val="50"/>
                <w:rtl/>
              </w:rPr>
              <w:t>ـات</w:t>
            </w:r>
          </w:p>
          <w:p w:rsidR="003915C7" w:rsidRPr="0056062E" w:rsidRDefault="003915C7" w:rsidP="00017548">
            <w:pPr>
              <w:ind w:left="142"/>
              <w:jc w:val="center"/>
              <w:rPr>
                <w:rFonts w:hint="cs"/>
                <w:b/>
                <w:bCs/>
                <w:sz w:val="50"/>
                <w:szCs w:val="50"/>
              </w:rPr>
            </w:pPr>
            <w:r w:rsidRPr="0056062E">
              <w:rPr>
                <w:b/>
                <w:bCs/>
                <w:sz w:val="50"/>
                <w:szCs w:val="50"/>
              </w:rPr>
              <w:t xml:space="preserve">Accounts </w:t>
            </w:r>
          </w:p>
        </w:tc>
        <w:tc>
          <w:tcPr>
            <w:tcW w:w="5952" w:type="dxa"/>
            <w:vAlign w:val="center"/>
          </w:tcPr>
          <w:p w:rsidR="00D51F88" w:rsidRPr="00017548" w:rsidRDefault="003915C7" w:rsidP="00017548">
            <w:pPr>
              <w:ind w:right="108"/>
              <w:jc w:val="center"/>
              <w:rPr>
                <w:rFonts w:ascii="Tahoma" w:hAnsi="Tahoma" w:cs="Tahoma"/>
                <w:b/>
                <w:bCs/>
                <w:sz w:val="38"/>
                <w:szCs w:val="38"/>
              </w:rPr>
            </w:pPr>
            <w:r w:rsidRPr="00017548">
              <w:rPr>
                <w:rFonts w:ascii="Tahoma" w:hAnsi="Tahoma" w:cs="Tahoma"/>
                <w:b/>
                <w:bCs/>
                <w:sz w:val="38"/>
                <w:szCs w:val="38"/>
                <w:rtl/>
              </w:rPr>
              <w:t xml:space="preserve">أجهزة الحاسب والطابعات </w:t>
            </w:r>
            <w:r w:rsidR="002F1F40" w:rsidRPr="00017548">
              <w:rPr>
                <w:rFonts w:ascii="Tahoma" w:hAnsi="Tahoma" w:cs="Tahoma"/>
                <w:b/>
                <w:bCs/>
                <w:sz w:val="38"/>
                <w:szCs w:val="38"/>
                <w:rtl/>
              </w:rPr>
              <w:t>وأخرى</w:t>
            </w:r>
            <w:r w:rsidRPr="00017548">
              <w:rPr>
                <w:rFonts w:ascii="Tahoma" w:hAnsi="Tahoma" w:cs="Tahoma"/>
                <w:b/>
                <w:bCs/>
                <w:sz w:val="38"/>
                <w:szCs w:val="38"/>
                <w:rtl/>
              </w:rPr>
              <w:t xml:space="preserve"> </w:t>
            </w:r>
          </w:p>
          <w:p w:rsidR="003915C7" w:rsidRPr="003915C7" w:rsidRDefault="003915C7" w:rsidP="00017548">
            <w:pPr>
              <w:ind w:right="108"/>
              <w:jc w:val="center"/>
              <w:rPr>
                <w:b/>
                <w:bCs/>
                <w:sz w:val="46"/>
                <w:szCs w:val="46"/>
              </w:rPr>
            </w:pPr>
            <w:r w:rsidRPr="00485681">
              <w:rPr>
                <w:b/>
                <w:bCs/>
                <w:sz w:val="45"/>
                <w:szCs w:val="45"/>
              </w:rPr>
              <w:t>PC’</w:t>
            </w:r>
            <w:r w:rsidR="002F1F40" w:rsidRPr="00485681">
              <w:rPr>
                <w:b/>
                <w:bCs/>
                <w:sz w:val="45"/>
                <w:szCs w:val="45"/>
              </w:rPr>
              <w:t>s, Printers &amp; Others</w:t>
            </w:r>
          </w:p>
        </w:tc>
      </w:tr>
      <w:tr w:rsidR="00D51F88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2F1F40" w:rsidRPr="004A5C4F" w:rsidRDefault="003915C7" w:rsidP="00017548">
            <w:pPr>
              <w:ind w:left="142"/>
              <w:jc w:val="center"/>
              <w:rPr>
                <w:rFonts w:ascii="Tahoma" w:hAnsi="Tahoma" w:cs="Tahoma"/>
                <w:b/>
                <w:bCs/>
                <w:sz w:val="50"/>
                <w:szCs w:val="50"/>
              </w:rPr>
            </w:pPr>
            <w:r w:rsidRPr="004A5C4F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السي</w:t>
            </w:r>
            <w:r w:rsidR="002F1F40" w:rsidRPr="004A5C4F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ـ</w:t>
            </w:r>
            <w:r w:rsidRPr="004A5C4F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رف</w:t>
            </w:r>
            <w:r w:rsidR="002F1F40" w:rsidRPr="004A5C4F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ـ</w:t>
            </w:r>
            <w:r w:rsidRPr="004A5C4F">
              <w:rPr>
                <w:rFonts w:ascii="Tahoma" w:hAnsi="Tahoma" w:cs="Tahoma"/>
                <w:b/>
                <w:bCs/>
                <w:sz w:val="50"/>
                <w:szCs w:val="50"/>
                <w:rtl/>
              </w:rPr>
              <w:t>ر</w:t>
            </w:r>
          </w:p>
          <w:p w:rsidR="00D51F88" w:rsidRPr="00037142" w:rsidRDefault="002F1F40" w:rsidP="00017548">
            <w:pPr>
              <w:ind w:left="142"/>
              <w:jc w:val="center"/>
              <w:rPr>
                <w:b/>
                <w:bCs/>
                <w:sz w:val="80"/>
                <w:szCs w:val="80"/>
              </w:rPr>
            </w:pPr>
            <w:r w:rsidRPr="00485681">
              <w:rPr>
                <w:b/>
                <w:bCs/>
                <w:sz w:val="60"/>
                <w:szCs w:val="60"/>
              </w:rPr>
              <w:t>Server</w:t>
            </w:r>
            <w:r w:rsidR="003915C7" w:rsidRPr="00037142">
              <w:rPr>
                <w:rFonts w:hint="cs"/>
                <w:b/>
                <w:bCs/>
                <w:sz w:val="80"/>
                <w:szCs w:val="80"/>
                <w:rtl/>
              </w:rPr>
              <w:t xml:space="preserve"> </w:t>
            </w:r>
          </w:p>
        </w:tc>
        <w:tc>
          <w:tcPr>
            <w:tcW w:w="5952" w:type="dxa"/>
            <w:vAlign w:val="center"/>
          </w:tcPr>
          <w:p w:rsidR="006D042A" w:rsidRPr="00485681" w:rsidRDefault="003915C7" w:rsidP="00017548">
            <w:pPr>
              <w:ind w:right="108"/>
              <w:jc w:val="center"/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</w:pPr>
            <w:r w:rsidRPr="00485681">
              <w:rPr>
                <w:rFonts w:ascii="Tahoma" w:hAnsi="Tahoma" w:cs="Tahoma"/>
                <w:b/>
                <w:bCs/>
                <w:sz w:val="34"/>
                <w:szCs w:val="34"/>
                <w:rtl/>
              </w:rPr>
              <w:t>برامج</w:t>
            </w:r>
            <w:r w:rsidR="002F1F40" w:rsidRPr="00485681">
              <w:rPr>
                <w:rFonts w:ascii="Tahoma" w:hAnsi="Tahoma" w:cs="Tahoma"/>
                <w:b/>
                <w:bCs/>
                <w:sz w:val="34"/>
                <w:szCs w:val="34"/>
                <w:rtl/>
              </w:rPr>
              <w:t xml:space="preserve"> أخرى</w:t>
            </w:r>
            <w:r w:rsidRPr="00485681">
              <w:rPr>
                <w:rFonts w:ascii="Tahoma" w:hAnsi="Tahoma" w:cs="Tahoma"/>
                <w:b/>
                <w:bCs/>
                <w:sz w:val="34"/>
                <w:szCs w:val="34"/>
                <w:rtl/>
              </w:rPr>
              <w:t xml:space="preserve"> </w:t>
            </w:r>
            <w:r w:rsidR="004A5C4F">
              <w:rPr>
                <w:rFonts w:ascii="Tahoma" w:hAnsi="Tahoma" w:cs="Tahoma" w:hint="cs"/>
                <w:b/>
                <w:bCs/>
                <w:sz w:val="34"/>
                <w:szCs w:val="34"/>
                <w:rtl/>
              </w:rPr>
              <w:t>حسابية</w:t>
            </w:r>
            <w:r w:rsidR="002F1F40" w:rsidRPr="00485681">
              <w:rPr>
                <w:rFonts w:ascii="Tahoma" w:hAnsi="Tahoma" w:cs="Tahoma"/>
                <w:b/>
                <w:bCs/>
                <w:sz w:val="34"/>
                <w:szCs w:val="34"/>
                <w:rtl/>
              </w:rPr>
              <w:t xml:space="preserve"> </w:t>
            </w:r>
            <w:r w:rsidR="004A5C4F">
              <w:rPr>
                <w:rFonts w:ascii="Tahoma" w:hAnsi="Tahoma" w:cs="Tahoma" w:hint="cs"/>
                <w:b/>
                <w:bCs/>
                <w:sz w:val="34"/>
                <w:szCs w:val="34"/>
                <w:rtl/>
              </w:rPr>
              <w:t>ومخزون</w:t>
            </w:r>
            <w:r w:rsidR="006D042A" w:rsidRPr="00485681"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  <w:t xml:space="preserve"> </w:t>
            </w:r>
            <w:r w:rsidR="006D042A" w:rsidRPr="004A5C4F">
              <w:rPr>
                <w:rFonts w:ascii="Tahoma" w:hAnsi="Tahoma" w:cs="Tahoma"/>
                <w:sz w:val="24"/>
                <w:szCs w:val="24"/>
                <w:rtl/>
              </w:rPr>
              <w:t>قديم</w:t>
            </w:r>
          </w:p>
          <w:p w:rsidR="002F1F40" w:rsidRPr="00485681" w:rsidRDefault="006D042A" w:rsidP="00017548">
            <w:pPr>
              <w:ind w:right="108"/>
              <w:jc w:val="center"/>
              <w:rPr>
                <w:b/>
                <w:bCs/>
                <w:sz w:val="36"/>
                <w:szCs w:val="36"/>
              </w:rPr>
            </w:pPr>
            <w:r w:rsidRPr="00485681">
              <w:rPr>
                <w:b/>
                <w:bCs/>
                <w:sz w:val="36"/>
                <w:szCs w:val="36"/>
              </w:rPr>
              <w:t xml:space="preserve">Others Account &amp; </w:t>
            </w:r>
            <w:r w:rsidR="004A5C4F">
              <w:rPr>
                <w:b/>
                <w:bCs/>
                <w:sz w:val="36"/>
                <w:szCs w:val="36"/>
              </w:rPr>
              <w:t>Store</w:t>
            </w:r>
            <w:r w:rsidRPr="00485681">
              <w:rPr>
                <w:b/>
                <w:bCs/>
                <w:sz w:val="36"/>
                <w:szCs w:val="36"/>
              </w:rPr>
              <w:t xml:space="preserve"> Programs</w:t>
            </w:r>
            <w:r w:rsidR="004A5C4F">
              <w:rPr>
                <w:b/>
                <w:bCs/>
                <w:sz w:val="36"/>
                <w:szCs w:val="36"/>
              </w:rPr>
              <w:t xml:space="preserve"> </w:t>
            </w:r>
            <w:r w:rsidR="004A5C4F" w:rsidRPr="004A5C4F">
              <w:rPr>
                <w:sz w:val="24"/>
                <w:szCs w:val="24"/>
              </w:rPr>
              <w:t>old</w:t>
            </w:r>
            <w:r w:rsidRPr="00485681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D51F88" w:rsidRPr="00CE260C" w:rsidTr="0056062E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89758C" w:rsidRPr="00485681" w:rsidRDefault="0056062E" w:rsidP="0056062E">
            <w:pPr>
              <w:ind w:left="142" w:right="258"/>
              <w:jc w:val="center"/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 xml:space="preserve">الدومين لمؤسسة </w:t>
            </w:r>
            <w:proofErr w:type="spellStart"/>
            <w:r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بايوني</w:t>
            </w:r>
            <w:proofErr w:type="spellEnd"/>
            <w:r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 xml:space="preserve"> الموقع</w:t>
            </w:r>
          </w:p>
          <w:p w:rsidR="0089758C" w:rsidRPr="0089758C" w:rsidRDefault="0056062E" w:rsidP="0056062E">
            <w:pPr>
              <w:ind w:left="142" w:right="258"/>
              <w:jc w:val="center"/>
              <w:rPr>
                <w:b/>
                <w:bCs/>
                <w:sz w:val="46"/>
                <w:szCs w:val="46"/>
              </w:rPr>
            </w:pPr>
            <w:r>
              <w:rPr>
                <w:b/>
                <w:bCs/>
                <w:sz w:val="46"/>
                <w:szCs w:val="46"/>
              </w:rPr>
              <w:t>Domain</w:t>
            </w:r>
            <w:r w:rsidR="0089758C">
              <w:rPr>
                <w:b/>
                <w:bCs/>
                <w:sz w:val="46"/>
                <w:szCs w:val="46"/>
              </w:rPr>
              <w:t xml:space="preserve"> of </w:t>
            </w:r>
            <w:proofErr w:type="spellStart"/>
            <w:r w:rsidR="0089758C">
              <w:rPr>
                <w:b/>
                <w:bCs/>
                <w:sz w:val="46"/>
                <w:szCs w:val="46"/>
              </w:rPr>
              <w:t>Bayouni</w:t>
            </w:r>
            <w:proofErr w:type="spellEnd"/>
            <w:r w:rsidR="0089758C">
              <w:rPr>
                <w:b/>
                <w:bCs/>
                <w:sz w:val="46"/>
                <w:szCs w:val="46"/>
              </w:rPr>
              <w:t xml:space="preserve"> Est</w:t>
            </w:r>
          </w:p>
        </w:tc>
        <w:tc>
          <w:tcPr>
            <w:tcW w:w="5952" w:type="dxa"/>
            <w:vAlign w:val="bottom"/>
          </w:tcPr>
          <w:p w:rsidR="00D51F88" w:rsidRDefault="003915C7" w:rsidP="00017548">
            <w:pPr>
              <w:spacing w:line="360" w:lineRule="auto"/>
              <w:ind w:left="258" w:right="108"/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485681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>خدمات الإنترنت</w:t>
            </w:r>
            <w:r w:rsidR="00037142" w:rsidRPr="00485681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="00037142" w:rsidRPr="00485681">
              <w:rPr>
                <w:rFonts w:ascii="Tahoma" w:hAnsi="Tahoma" w:cs="Tahoma"/>
                <w:b/>
                <w:bCs/>
                <w:sz w:val="40"/>
                <w:szCs w:val="40"/>
                <w:rtl/>
              </w:rPr>
              <w:t>والإشتراكات</w:t>
            </w:r>
            <w:proofErr w:type="spellEnd"/>
          </w:p>
          <w:p w:rsidR="004A5C4F" w:rsidRPr="004A5C4F" w:rsidRDefault="004A5C4F" w:rsidP="00017548">
            <w:pPr>
              <w:spacing w:line="360" w:lineRule="auto"/>
              <w:ind w:left="258" w:right="108"/>
              <w:jc w:val="center"/>
              <w:rPr>
                <w:rFonts w:ascii="Tahoma" w:hAnsi="Tahoma" w:cs="Tahoma"/>
                <w:b/>
                <w:bCs/>
                <w:sz w:val="39"/>
                <w:szCs w:val="39"/>
                <w:rtl/>
              </w:rPr>
            </w:pPr>
            <w:r w:rsidRPr="004A5C4F">
              <w:rPr>
                <w:b/>
                <w:bCs/>
                <w:sz w:val="39"/>
                <w:szCs w:val="39"/>
              </w:rPr>
              <w:t>Internet Services &amp; Subscriptions</w:t>
            </w:r>
          </w:p>
        </w:tc>
      </w:tr>
      <w:tr w:rsidR="00022240" w:rsidRPr="00CE260C" w:rsidTr="004A5C4F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022240" w:rsidRPr="00022240" w:rsidRDefault="00022240" w:rsidP="00017548">
            <w:pPr>
              <w:ind w:left="142" w:right="258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952" w:type="dxa"/>
            <w:vAlign w:val="center"/>
          </w:tcPr>
          <w:p w:rsidR="00022240" w:rsidRPr="0056062E" w:rsidRDefault="006D042A" w:rsidP="00017548">
            <w:pPr>
              <w:ind w:left="258" w:right="108"/>
              <w:jc w:val="center"/>
              <w:rPr>
                <w:rFonts w:ascii="Tahoma" w:hAnsi="Tahoma" w:cs="Tahoma"/>
                <w:b/>
                <w:bCs/>
                <w:sz w:val="46"/>
                <w:szCs w:val="46"/>
              </w:rPr>
            </w:pPr>
            <w:r w:rsidRPr="0056062E"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  <w:t xml:space="preserve">برنامج </w:t>
            </w:r>
            <w:proofErr w:type="spellStart"/>
            <w:r w:rsidRPr="0056062E"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  <w:t>الأونكس</w:t>
            </w:r>
            <w:proofErr w:type="spellEnd"/>
            <w:r w:rsidRPr="0056062E"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  <w:t xml:space="preserve"> </w:t>
            </w:r>
            <w:proofErr w:type="spellStart"/>
            <w:r w:rsidRPr="0056062E">
              <w:rPr>
                <w:rFonts w:ascii="Tahoma" w:hAnsi="Tahoma" w:cs="Tahoma"/>
                <w:b/>
                <w:bCs/>
                <w:sz w:val="46"/>
                <w:szCs w:val="46"/>
                <w:rtl/>
              </w:rPr>
              <w:t>برو</w:t>
            </w:r>
            <w:proofErr w:type="spellEnd"/>
          </w:p>
          <w:p w:rsidR="006D042A" w:rsidRPr="0056062E" w:rsidRDefault="006D042A" w:rsidP="00017548">
            <w:pPr>
              <w:ind w:left="258" w:right="108"/>
              <w:jc w:val="center"/>
              <w:rPr>
                <w:b/>
                <w:bCs/>
                <w:sz w:val="50"/>
                <w:szCs w:val="50"/>
              </w:rPr>
            </w:pPr>
            <w:r w:rsidRPr="0056062E">
              <w:rPr>
                <w:b/>
                <w:bCs/>
                <w:sz w:val="50"/>
                <w:szCs w:val="50"/>
              </w:rPr>
              <w:t>ONYX Pro Program</w:t>
            </w:r>
          </w:p>
        </w:tc>
      </w:tr>
      <w:tr w:rsidR="00022240" w:rsidRPr="00CE260C" w:rsidTr="00C813D6">
        <w:trPr>
          <w:cantSplit/>
          <w:trHeight w:hRule="exact" w:val="1644"/>
        </w:trPr>
        <w:tc>
          <w:tcPr>
            <w:tcW w:w="5952" w:type="dxa"/>
            <w:vAlign w:val="center"/>
          </w:tcPr>
          <w:p w:rsidR="00022240" w:rsidRPr="00022240" w:rsidRDefault="00022240" w:rsidP="00F00E34">
            <w:pPr>
              <w:ind w:left="258" w:right="258"/>
              <w:jc w:val="center"/>
              <w:rPr>
                <w:b/>
                <w:bCs/>
                <w:sz w:val="46"/>
                <w:szCs w:val="46"/>
              </w:rPr>
            </w:pPr>
          </w:p>
        </w:tc>
        <w:tc>
          <w:tcPr>
            <w:tcW w:w="5952" w:type="dxa"/>
            <w:vAlign w:val="center"/>
          </w:tcPr>
          <w:p w:rsidR="00022240" w:rsidRPr="00022240" w:rsidRDefault="00022240" w:rsidP="00CE260C">
            <w:pPr>
              <w:ind w:left="258" w:right="258"/>
              <w:jc w:val="center"/>
              <w:rPr>
                <w:b/>
                <w:bCs/>
                <w:sz w:val="46"/>
                <w:szCs w:val="46"/>
              </w:rPr>
            </w:pPr>
          </w:p>
        </w:tc>
      </w:tr>
    </w:tbl>
    <w:p w:rsidR="00C64ED5" w:rsidRPr="00CE260C" w:rsidRDefault="00C64ED5" w:rsidP="00CE260C">
      <w:pPr>
        <w:ind w:left="258" w:right="258"/>
        <w:jc w:val="center"/>
        <w:rPr>
          <w:b/>
          <w:bCs/>
          <w:vanish/>
          <w:sz w:val="56"/>
          <w:szCs w:val="56"/>
        </w:rPr>
      </w:pPr>
    </w:p>
    <w:sectPr w:rsidR="00C64ED5" w:rsidRPr="00CE260C" w:rsidSect="00911A51">
      <w:type w:val="continuous"/>
      <w:pgSz w:w="11905" w:h="16837"/>
      <w:pgMar w:top="198" w:right="0" w:bottom="0" w:left="0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1A51"/>
    <w:rsid w:val="000162BF"/>
    <w:rsid w:val="00017548"/>
    <w:rsid w:val="00022240"/>
    <w:rsid w:val="00037142"/>
    <w:rsid w:val="000C32DA"/>
    <w:rsid w:val="000F4D09"/>
    <w:rsid w:val="0011150E"/>
    <w:rsid w:val="00261687"/>
    <w:rsid w:val="002F1F40"/>
    <w:rsid w:val="0036795B"/>
    <w:rsid w:val="003915C7"/>
    <w:rsid w:val="003D16DA"/>
    <w:rsid w:val="00450E00"/>
    <w:rsid w:val="004837A1"/>
    <w:rsid w:val="00485681"/>
    <w:rsid w:val="004A5C4F"/>
    <w:rsid w:val="004C2E9B"/>
    <w:rsid w:val="004E6ECF"/>
    <w:rsid w:val="00505DCE"/>
    <w:rsid w:val="00506213"/>
    <w:rsid w:val="0056062E"/>
    <w:rsid w:val="006D042A"/>
    <w:rsid w:val="0089758C"/>
    <w:rsid w:val="00911A51"/>
    <w:rsid w:val="00993D95"/>
    <w:rsid w:val="00AF5F82"/>
    <w:rsid w:val="00BD4D5E"/>
    <w:rsid w:val="00C55532"/>
    <w:rsid w:val="00C64ED5"/>
    <w:rsid w:val="00C73017"/>
    <w:rsid w:val="00C813D6"/>
    <w:rsid w:val="00CE260C"/>
    <w:rsid w:val="00D51F88"/>
    <w:rsid w:val="00F418C0"/>
    <w:rsid w:val="00F42D54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124D9-9515-4781-B583-E821E6A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A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D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A5C4F"/>
  </w:style>
  <w:style w:type="character" w:customStyle="1" w:styleId="hps">
    <w:name w:val="hps"/>
    <w:basedOn w:val="DefaultParagraphFont"/>
    <w:rsid w:val="004A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D838-7CC0-460F-927B-431B8D55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</dc:creator>
  <cp:lastModifiedBy>KAMAL BAYOUNI</cp:lastModifiedBy>
  <cp:revision>7</cp:revision>
  <cp:lastPrinted>2015-12-01T16:07:00Z</cp:lastPrinted>
  <dcterms:created xsi:type="dcterms:W3CDTF">2014-12-29T08:46:00Z</dcterms:created>
  <dcterms:modified xsi:type="dcterms:W3CDTF">2015-12-01T16:20:00Z</dcterms:modified>
</cp:coreProperties>
</file>